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8EB22" w14:textId="77777777" w:rsidR="00BB45CD" w:rsidRDefault="00C237B2" w:rsidP="00BB45CD">
      <w:pPr>
        <w:jc w:val="right"/>
        <w:rPr>
          <w:b/>
          <w:bCs/>
          <w:sz w:val="44"/>
          <w:szCs w:val="44"/>
          <w:u w:val="single"/>
          <w:lang w:val="sk-SK"/>
        </w:rPr>
      </w:pPr>
      <w:r>
        <w:rPr>
          <w:noProof/>
          <w:lang w:val="sk-SK"/>
        </w:rPr>
        <mc:AlternateContent>
          <mc:Choice Requires="wps">
            <w:drawing>
              <wp:anchor distT="0" distB="0" distL="114300" distR="114300" simplePos="0" relativeHeight="251658240" behindDoc="0" locked="0" layoutInCell="1" allowOverlap="1" wp14:anchorId="19436299" wp14:editId="16A7A1C9">
                <wp:simplePos x="0" y="0"/>
                <wp:positionH relativeFrom="column">
                  <wp:posOffset>5000038</wp:posOffset>
                </wp:positionH>
                <wp:positionV relativeFrom="paragraph">
                  <wp:posOffset>643698</wp:posOffset>
                </wp:positionV>
                <wp:extent cx="1409700" cy="469110"/>
                <wp:effectExtent l="0" t="0" r="19050" b="26670"/>
                <wp:wrapNone/>
                <wp:docPr id="1879721545"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69110"/>
                        </a:xfrm>
                        <a:prstGeom prst="rect">
                          <a:avLst/>
                        </a:prstGeom>
                        <a:solidFill>
                          <a:srgbClr val="FFFFFF"/>
                        </a:solidFill>
                        <a:ln w="9525">
                          <a:solidFill>
                            <a:srgbClr val="FFFFFF"/>
                          </a:solidFill>
                          <a:miter lim="800000"/>
                          <a:headEnd/>
                          <a:tailEnd/>
                        </a:ln>
                      </wps:spPr>
                      <wps:txbx>
                        <w:txbxContent>
                          <w:p w14:paraId="21A65EAB" w14:textId="77777777" w:rsidR="00C237B2" w:rsidRPr="002747A4" w:rsidRDefault="00C237B2" w:rsidP="00C237B2">
                            <w:pPr>
                              <w:rPr>
                                <w:rFonts w:ascii="Arial" w:hAnsi="Arial" w:cs="Arial"/>
                                <w:b/>
                                <w:sz w:val="20"/>
                                <w:lang w:val="en-US"/>
                              </w:rPr>
                            </w:pPr>
                            <w:r w:rsidRPr="002747A4">
                              <w:rPr>
                                <w:rFonts w:ascii="Arial" w:hAnsi="Arial" w:cs="Arial"/>
                                <w:b/>
                                <w:sz w:val="20"/>
                                <w:lang w:val="en-US"/>
                              </w:rPr>
                              <w:t xml:space="preserve">Arcos FM SK, </w:t>
                            </w:r>
                            <w:proofErr w:type="spellStart"/>
                            <w:r w:rsidRPr="002747A4">
                              <w:rPr>
                                <w:rFonts w:ascii="Arial" w:hAnsi="Arial" w:cs="Arial"/>
                                <w:b/>
                                <w:sz w:val="20"/>
                                <w:lang w:val="en-US"/>
                              </w:rPr>
                              <w:t>s.r.o.</w:t>
                            </w:r>
                            <w:proofErr w:type="spellEnd"/>
                          </w:p>
                          <w:p w14:paraId="068A7E65" w14:textId="77777777" w:rsidR="00C237B2" w:rsidRPr="002747A4" w:rsidRDefault="00C237B2" w:rsidP="00C237B2">
                            <w:pPr>
                              <w:rPr>
                                <w:rFonts w:ascii="Arial" w:hAnsi="Arial" w:cs="Arial"/>
                                <w:sz w:val="14"/>
                                <w:lang w:val="en-US"/>
                              </w:rPr>
                            </w:pPr>
                            <w:proofErr w:type="spellStart"/>
                            <w:r w:rsidRPr="002747A4">
                              <w:rPr>
                                <w:rFonts w:ascii="Arial" w:hAnsi="Arial" w:cs="Arial"/>
                                <w:sz w:val="14"/>
                                <w:lang w:val="en-US"/>
                              </w:rPr>
                              <w:t>Toryská</w:t>
                            </w:r>
                            <w:proofErr w:type="spellEnd"/>
                            <w:r w:rsidRPr="002747A4">
                              <w:rPr>
                                <w:rFonts w:ascii="Arial" w:hAnsi="Arial" w:cs="Arial"/>
                                <w:sz w:val="14"/>
                                <w:lang w:val="en-US"/>
                              </w:rPr>
                              <w:t xml:space="preserve"> 5, SK-040 11 </w:t>
                            </w:r>
                            <w:proofErr w:type="spellStart"/>
                            <w:r w:rsidRPr="002747A4">
                              <w:rPr>
                                <w:rFonts w:ascii="Arial" w:hAnsi="Arial" w:cs="Arial"/>
                                <w:sz w:val="14"/>
                                <w:lang w:val="en-US"/>
                              </w:rPr>
                              <w:t>Ko</w:t>
                            </w:r>
                            <w:r>
                              <w:rPr>
                                <w:rFonts w:ascii="Arial" w:hAnsi="Arial" w:cs="Arial"/>
                                <w:sz w:val="14"/>
                                <w:lang w:val="en-US"/>
                              </w:rPr>
                              <w:t>š</w:t>
                            </w:r>
                            <w:r w:rsidRPr="002747A4">
                              <w:rPr>
                                <w:rFonts w:ascii="Arial" w:hAnsi="Arial" w:cs="Arial"/>
                                <w:sz w:val="14"/>
                                <w:lang w:val="en-US"/>
                              </w:rPr>
                              <w:t>ice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36299" id="_x0000_t202" coordsize="21600,21600" o:spt="202" path="m,l,21600r21600,l21600,xe">
                <v:stroke joinstyle="miter"/>
                <v:path gradientshapeok="t" o:connecttype="rect"/>
              </v:shapetype>
              <v:shape id="Textfeld 1" o:spid="_x0000_s1026" type="#_x0000_t202" style="position:absolute;left:0;text-align:left;margin-left:393.7pt;margin-top:50.7pt;width:111pt;height:3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" strokecolor="white">
                <v:textbox>
                  <w:txbxContent>
                    <w:p w14:paraId="21A65EAB" w14:textId="77777777" w:rsidR="00C237B2" w:rsidRPr="002747A4" w:rsidRDefault="00C237B2" w:rsidP="00C237B2">
                      <w:pPr>
                        <w:rPr>
                          <w:rFonts w:ascii="Arial" w:hAnsi="Arial" w:cs="Arial"/>
                          <w:b/>
                          <w:sz w:val="20"/>
                          <w:lang w:val="en-US"/>
                        </w:rPr>
                      </w:pPr>
                      <w:r w:rsidRPr="002747A4">
                        <w:rPr>
                          <w:rFonts w:ascii="Arial" w:hAnsi="Arial" w:cs="Arial"/>
                          <w:b/>
                          <w:sz w:val="20"/>
                          <w:lang w:val="en-US"/>
                        </w:rPr>
                        <w:t xml:space="preserve">Arcos FM SK, </w:t>
                      </w:r>
                      <w:proofErr w:type="spellStart"/>
                      <w:r w:rsidRPr="002747A4">
                        <w:rPr>
                          <w:rFonts w:ascii="Arial" w:hAnsi="Arial" w:cs="Arial"/>
                          <w:b/>
                          <w:sz w:val="20"/>
                          <w:lang w:val="en-US"/>
                        </w:rPr>
                        <w:t>s.r.o.</w:t>
                      </w:r>
                      <w:proofErr w:type="spellEnd"/>
                    </w:p>
                    <w:p w14:paraId="068A7E65" w14:textId="77777777" w:rsidR="00C237B2" w:rsidRPr="002747A4" w:rsidRDefault="00C237B2" w:rsidP="00C237B2">
                      <w:pPr>
                        <w:rPr>
                          <w:rFonts w:ascii="Arial" w:hAnsi="Arial" w:cs="Arial"/>
                          <w:sz w:val="14"/>
                          <w:lang w:val="en-US"/>
                        </w:rPr>
                      </w:pPr>
                      <w:proofErr w:type="spellStart"/>
                      <w:r w:rsidRPr="002747A4">
                        <w:rPr>
                          <w:rFonts w:ascii="Arial" w:hAnsi="Arial" w:cs="Arial"/>
                          <w:sz w:val="14"/>
                          <w:lang w:val="en-US"/>
                        </w:rPr>
                        <w:t>Toryská</w:t>
                      </w:r>
                      <w:proofErr w:type="spellEnd"/>
                      <w:r w:rsidRPr="002747A4">
                        <w:rPr>
                          <w:rFonts w:ascii="Arial" w:hAnsi="Arial" w:cs="Arial"/>
                          <w:sz w:val="14"/>
                          <w:lang w:val="en-US"/>
                        </w:rPr>
                        <w:t xml:space="preserve"> 5, SK-040 11 </w:t>
                      </w:r>
                      <w:proofErr w:type="spellStart"/>
                      <w:r w:rsidRPr="002747A4">
                        <w:rPr>
                          <w:rFonts w:ascii="Arial" w:hAnsi="Arial" w:cs="Arial"/>
                          <w:sz w:val="14"/>
                          <w:lang w:val="en-US"/>
                        </w:rPr>
                        <w:t>Ko</w:t>
                      </w:r>
                      <w:r>
                        <w:rPr>
                          <w:rFonts w:ascii="Arial" w:hAnsi="Arial" w:cs="Arial"/>
                          <w:sz w:val="14"/>
                          <w:lang w:val="en-US"/>
                        </w:rPr>
                        <w:t>š</w:t>
                      </w:r>
                      <w:r w:rsidRPr="002747A4">
                        <w:rPr>
                          <w:rFonts w:ascii="Arial" w:hAnsi="Arial" w:cs="Arial"/>
                          <w:sz w:val="14"/>
                          <w:lang w:val="en-US"/>
                        </w:rPr>
                        <w:t>ice</w:t>
                      </w:r>
                      <w:proofErr w:type="spellEnd"/>
                    </w:p>
                  </w:txbxContent>
                </v:textbox>
              </v:shape>
            </w:pict>
          </mc:Fallback>
        </mc:AlternateContent>
      </w:r>
      <w:r>
        <w:rPr>
          <w:noProof/>
          <w:lang w:val="sk-SK" w:eastAsia="sk-SK"/>
        </w:rPr>
        <w:drawing>
          <wp:inline distT="0" distB="0" distL="0" distR="0" wp14:anchorId="673774AE" wp14:editId="305EC80E">
            <wp:extent cx="5760720" cy="1259338"/>
            <wp:effectExtent l="0" t="0" r="0" b="0"/>
            <wp:docPr id="1" name="obrázek 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cNvPicPr>
                      <a:picLocks noChangeAspect="1" noChangeArrowheads="1"/>
                    </pic:cNvPicPr>
                  </pic:nvPicPr>
                  <pic:blipFill>
                    <a:blip r:embed="rId6"/>
                    <a:srcRect/>
                    <a:stretch>
                      <a:fillRect/>
                    </a:stretch>
                  </pic:blipFill>
                  <pic:spPr bwMode="auto">
                    <a:xfrm>
                      <a:off x="0" y="0"/>
                      <a:ext cx="5760720" cy="1259338"/>
                    </a:xfrm>
                    <a:prstGeom prst="rect">
                      <a:avLst/>
                    </a:prstGeom>
                    <a:noFill/>
                    <a:ln w="9525">
                      <a:noFill/>
                      <a:miter lim="800000"/>
                      <a:headEnd/>
                      <a:tailEnd/>
                    </a:ln>
                  </pic:spPr>
                </pic:pic>
              </a:graphicData>
            </a:graphic>
          </wp:inline>
        </w:drawing>
      </w:r>
    </w:p>
    <w:p w14:paraId="212E0DB7" w14:textId="7A1C2088" w:rsidR="00C237B2" w:rsidRPr="00D86F27" w:rsidRDefault="00C237B2" w:rsidP="00D86F27">
      <w:pPr>
        <w:jc w:val="center"/>
        <w:rPr>
          <w:lang w:val="sk-SK"/>
        </w:rPr>
      </w:pPr>
      <w:r w:rsidRPr="00C237B2">
        <w:rPr>
          <w:b/>
          <w:bCs/>
          <w:sz w:val="44"/>
          <w:szCs w:val="44"/>
          <w:u w:val="single"/>
          <w:lang w:val="sk-SK"/>
        </w:rPr>
        <w:t xml:space="preserve">Informácia </w:t>
      </w:r>
      <w:r>
        <w:rPr>
          <w:b/>
          <w:bCs/>
          <w:sz w:val="44"/>
          <w:szCs w:val="44"/>
          <w:u w:val="single"/>
          <w:lang w:val="sk-SK"/>
        </w:rPr>
        <w:t>k faktúr</w:t>
      </w:r>
      <w:r w:rsidR="005B7FD3">
        <w:rPr>
          <w:b/>
          <w:bCs/>
          <w:sz w:val="44"/>
          <w:szCs w:val="44"/>
          <w:u w:val="single"/>
          <w:lang w:val="sk-SK"/>
        </w:rPr>
        <w:t>e</w:t>
      </w:r>
      <w:r>
        <w:rPr>
          <w:b/>
          <w:bCs/>
          <w:sz w:val="44"/>
          <w:szCs w:val="44"/>
          <w:u w:val="single"/>
          <w:lang w:val="sk-SK"/>
        </w:rPr>
        <w:t xml:space="preserve"> za dodá</w:t>
      </w:r>
      <w:r w:rsidR="005B7FD3">
        <w:rPr>
          <w:b/>
          <w:bCs/>
          <w:sz w:val="44"/>
          <w:szCs w:val="44"/>
          <w:u w:val="single"/>
          <w:lang w:val="sk-SK"/>
        </w:rPr>
        <w:t>v</w:t>
      </w:r>
      <w:r>
        <w:rPr>
          <w:b/>
          <w:bCs/>
          <w:sz w:val="44"/>
          <w:szCs w:val="44"/>
          <w:u w:val="single"/>
          <w:lang w:val="sk-SK"/>
        </w:rPr>
        <w:t>ku elektriny</w:t>
      </w:r>
    </w:p>
    <w:p w14:paraId="7278D50A" w14:textId="57F69AC1" w:rsidR="00C237B2" w:rsidRPr="0093367A" w:rsidRDefault="00C237B2" w:rsidP="005B7FD3">
      <w:pPr>
        <w:jc w:val="both"/>
        <w:rPr>
          <w:sz w:val="20"/>
          <w:szCs w:val="20"/>
          <w:lang w:val="sk-SK"/>
        </w:rPr>
      </w:pPr>
      <w:r w:rsidRPr="0093367A">
        <w:rPr>
          <w:sz w:val="20"/>
          <w:szCs w:val="20"/>
          <w:lang w:val="sk-SK"/>
        </w:rPr>
        <w:t>V zmysle zákona č. 251/2012 Z.z. a pravidiel trhu s elektrinou č. 207/2023 Z.z. si Vám dovoľujeme zverejniť nasledujúce informácie:</w:t>
      </w:r>
    </w:p>
    <w:p w14:paraId="43892EDF" w14:textId="5F1E3859" w:rsidR="00C237B2" w:rsidRPr="00E94290" w:rsidRDefault="00C237B2" w:rsidP="00E94290">
      <w:pPr>
        <w:jc w:val="both"/>
        <w:rPr>
          <w:sz w:val="20"/>
          <w:szCs w:val="20"/>
          <w:u w:val="single"/>
          <w:lang w:val="sk-SK"/>
        </w:rPr>
      </w:pPr>
      <w:r w:rsidRPr="00E94290">
        <w:rPr>
          <w:sz w:val="20"/>
          <w:szCs w:val="20"/>
          <w:u w:val="single"/>
          <w:lang w:val="sk-SK"/>
        </w:rPr>
        <w:t>Podiel zdrojov na výrobe elektriny v roku 202</w:t>
      </w:r>
      <w:r w:rsidR="00DF73B3" w:rsidRPr="00E94290">
        <w:rPr>
          <w:sz w:val="20"/>
          <w:szCs w:val="20"/>
          <w:u w:val="single"/>
          <w:lang w:val="sk-SK"/>
        </w:rPr>
        <w:t>3</w:t>
      </w:r>
      <w:r w:rsidRPr="00E94290">
        <w:rPr>
          <w:sz w:val="20"/>
          <w:szCs w:val="20"/>
          <w:u w:val="single"/>
          <w:lang w:val="sk-SK"/>
        </w:rPr>
        <w:t xml:space="preserve">: </w:t>
      </w:r>
    </w:p>
    <w:p w14:paraId="66A5B0A4" w14:textId="5DEA2D59" w:rsidR="00E94290" w:rsidRPr="00EE0DA5" w:rsidRDefault="00E94290" w:rsidP="00EE0DA5">
      <w:pPr>
        <w:pStyle w:val="Listenabsatz"/>
        <w:numPr>
          <w:ilvl w:val="0"/>
          <w:numId w:val="3"/>
        </w:numPr>
        <w:rPr>
          <w:b/>
          <w:bCs/>
          <w:lang w:val="sk-SK"/>
        </w:rPr>
      </w:pPr>
      <w:r w:rsidRPr="00EE0DA5">
        <w:rPr>
          <w:b/>
          <w:bCs/>
          <w:lang w:val="sk-SK"/>
        </w:rPr>
        <w:t>Podiel zo zdrojov elektriny na celkovom energetickom mixe dodávateľa a informácie o vplyvoch na životné prostredie</w:t>
      </w:r>
    </w:p>
    <w:p w14:paraId="7D766F2C" w14:textId="1357B51D" w:rsidR="00E94290" w:rsidRPr="00E94290" w:rsidRDefault="00E94290" w:rsidP="00E94290">
      <w:pPr>
        <w:rPr>
          <w:lang w:val="sk-SK"/>
        </w:rPr>
      </w:pPr>
      <w:r w:rsidRPr="00E94290">
        <w:rPr>
          <w:lang w:val="sk-SK"/>
        </w:rPr>
        <w:t>Podiel jednotlivých druhov primárnych energetických zdrojov na vyrobenej a dodanej elektrine v roku 2023:</w:t>
      </w:r>
    </w:p>
    <w:tbl>
      <w:tblPr>
        <w:tblW w:w="7367" w:type="dxa"/>
        <w:tblInd w:w="1960" w:type="dxa"/>
        <w:tblCellMar>
          <w:top w:w="15" w:type="dxa"/>
          <w:left w:w="70" w:type="dxa"/>
          <w:right w:w="70" w:type="dxa"/>
        </w:tblCellMar>
        <w:tblLook w:val="04A0" w:firstRow="1" w:lastRow="0" w:firstColumn="1" w:lastColumn="0" w:noHBand="0" w:noVBand="1"/>
      </w:tblPr>
      <w:tblGrid>
        <w:gridCol w:w="971"/>
        <w:gridCol w:w="799"/>
        <w:gridCol w:w="910"/>
        <w:gridCol w:w="687"/>
        <w:gridCol w:w="1431"/>
        <w:gridCol w:w="2569"/>
      </w:tblGrid>
      <w:tr w:rsidR="00E94290" w:rsidRPr="00207AAB" w14:paraId="5DB6D3AB" w14:textId="77777777" w:rsidTr="00452021">
        <w:trPr>
          <w:gridAfter w:val="1"/>
          <w:wAfter w:w="2569" w:type="dxa"/>
          <w:trHeight w:val="1164"/>
        </w:trPr>
        <w:tc>
          <w:tcPr>
            <w:tcW w:w="97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93E4E5" w14:textId="77777777" w:rsidR="00E94290" w:rsidRPr="00CF636D" w:rsidRDefault="00E94290" w:rsidP="00657557">
            <w:pPr>
              <w:spacing w:after="0" w:line="240" w:lineRule="auto"/>
              <w:rPr>
                <w:rFonts w:ascii="Calibri" w:eastAsia="Times New Roman" w:hAnsi="Calibri" w:cs="Calibri"/>
                <w:color w:val="000000"/>
                <w:kern w:val="0"/>
                <w:lang w:eastAsia="sk-SK"/>
                <w14:ligatures w14:val="none"/>
              </w:rPr>
            </w:pPr>
            <w:r w:rsidRPr="00CF636D">
              <w:rPr>
                <w:rFonts w:ascii="Calibri" w:eastAsia="Times New Roman" w:hAnsi="Calibri" w:cs="Calibri"/>
                <w:color w:val="000000"/>
                <w:kern w:val="0"/>
                <w:lang w:eastAsia="sk-SK"/>
                <w14:ligatures w14:val="none"/>
              </w:rPr>
              <w:t>JADROVÉ PALIVO</w:t>
            </w:r>
          </w:p>
        </w:tc>
        <w:tc>
          <w:tcPr>
            <w:tcW w:w="799" w:type="dxa"/>
            <w:tcBorders>
              <w:top w:val="single" w:sz="8" w:space="0" w:color="000000"/>
              <w:left w:val="nil"/>
              <w:bottom w:val="single" w:sz="8" w:space="0" w:color="000000"/>
              <w:right w:val="single" w:sz="8" w:space="0" w:color="000000"/>
            </w:tcBorders>
            <w:shd w:val="clear" w:color="auto" w:fill="auto"/>
            <w:vAlign w:val="center"/>
            <w:hideMark/>
          </w:tcPr>
          <w:p w14:paraId="1BC0ED0D" w14:textId="77777777" w:rsidR="00E94290" w:rsidRPr="00CF636D" w:rsidRDefault="00E94290" w:rsidP="00657557">
            <w:pPr>
              <w:spacing w:after="0" w:line="240" w:lineRule="auto"/>
              <w:rPr>
                <w:rFonts w:ascii="Calibri" w:eastAsia="Times New Roman" w:hAnsi="Calibri" w:cs="Calibri"/>
                <w:color w:val="000000"/>
                <w:kern w:val="0"/>
                <w:lang w:eastAsia="sk-SK"/>
                <w14:ligatures w14:val="none"/>
              </w:rPr>
            </w:pPr>
            <w:r w:rsidRPr="00CF636D">
              <w:rPr>
                <w:rFonts w:ascii="Calibri" w:eastAsia="Times New Roman" w:hAnsi="Calibri" w:cs="Calibri"/>
                <w:color w:val="000000"/>
                <w:kern w:val="0"/>
                <w:lang w:eastAsia="sk-SK"/>
                <w14:ligatures w14:val="none"/>
              </w:rPr>
              <w:t>VODA</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5352C69E" w14:textId="77777777" w:rsidR="00E94290" w:rsidRPr="00CF636D" w:rsidRDefault="00E94290" w:rsidP="00657557">
            <w:pPr>
              <w:spacing w:after="0" w:line="240" w:lineRule="auto"/>
              <w:rPr>
                <w:rFonts w:ascii="Calibri" w:eastAsia="Times New Roman" w:hAnsi="Calibri" w:cs="Calibri"/>
                <w:color w:val="000000"/>
                <w:kern w:val="0"/>
                <w:lang w:eastAsia="sk-SK"/>
                <w14:ligatures w14:val="none"/>
              </w:rPr>
            </w:pPr>
            <w:r w:rsidRPr="00CF636D">
              <w:rPr>
                <w:rFonts w:ascii="Calibri" w:eastAsia="Times New Roman" w:hAnsi="Calibri" w:cs="Calibri"/>
                <w:color w:val="000000"/>
                <w:kern w:val="0"/>
                <w:lang w:eastAsia="sk-SK"/>
                <w14:ligatures w14:val="none"/>
              </w:rPr>
              <w:t>UHLIE</w:t>
            </w:r>
          </w:p>
        </w:tc>
        <w:tc>
          <w:tcPr>
            <w:tcW w:w="687" w:type="dxa"/>
            <w:tcBorders>
              <w:top w:val="single" w:sz="8" w:space="0" w:color="000000"/>
              <w:left w:val="nil"/>
              <w:bottom w:val="single" w:sz="8" w:space="0" w:color="000000"/>
              <w:right w:val="single" w:sz="8" w:space="0" w:color="000000"/>
            </w:tcBorders>
            <w:shd w:val="clear" w:color="auto" w:fill="auto"/>
            <w:vAlign w:val="center"/>
            <w:hideMark/>
          </w:tcPr>
          <w:p w14:paraId="299A6C66" w14:textId="77777777" w:rsidR="00E94290" w:rsidRPr="00CF636D" w:rsidRDefault="00E94290" w:rsidP="00657557">
            <w:pPr>
              <w:spacing w:after="0" w:line="240" w:lineRule="auto"/>
              <w:rPr>
                <w:rFonts w:ascii="Calibri" w:eastAsia="Times New Roman" w:hAnsi="Calibri" w:cs="Calibri"/>
                <w:color w:val="000000"/>
                <w:kern w:val="0"/>
                <w:lang w:eastAsia="sk-SK"/>
                <w14:ligatures w14:val="none"/>
              </w:rPr>
            </w:pPr>
            <w:r w:rsidRPr="00CF636D">
              <w:rPr>
                <w:rFonts w:ascii="Calibri" w:eastAsia="Times New Roman" w:hAnsi="Calibri" w:cs="Calibri"/>
                <w:color w:val="000000"/>
                <w:kern w:val="0"/>
                <w:lang w:eastAsia="sk-SK"/>
                <w14:ligatures w14:val="none"/>
              </w:rPr>
              <w:t>PLYN</w:t>
            </w:r>
          </w:p>
        </w:tc>
        <w:tc>
          <w:tcPr>
            <w:tcW w:w="1431" w:type="dxa"/>
            <w:tcBorders>
              <w:top w:val="single" w:sz="8" w:space="0" w:color="000000"/>
              <w:left w:val="nil"/>
              <w:bottom w:val="single" w:sz="8" w:space="0" w:color="000000"/>
              <w:right w:val="single" w:sz="8" w:space="0" w:color="000000"/>
            </w:tcBorders>
            <w:shd w:val="clear" w:color="auto" w:fill="auto"/>
            <w:vAlign w:val="center"/>
            <w:hideMark/>
          </w:tcPr>
          <w:p w14:paraId="243D4618" w14:textId="77777777" w:rsidR="00E94290" w:rsidRPr="00CF636D" w:rsidRDefault="00E94290" w:rsidP="00657557">
            <w:pPr>
              <w:spacing w:after="0" w:line="240" w:lineRule="auto"/>
              <w:rPr>
                <w:rFonts w:ascii="Calibri" w:eastAsia="Times New Roman" w:hAnsi="Calibri" w:cs="Calibri"/>
                <w:color w:val="000000"/>
                <w:kern w:val="0"/>
                <w:lang w:eastAsia="sk-SK"/>
                <w14:ligatures w14:val="none"/>
              </w:rPr>
            </w:pPr>
            <w:r w:rsidRPr="00CF636D">
              <w:rPr>
                <w:rFonts w:ascii="Calibri" w:eastAsia="Times New Roman" w:hAnsi="Calibri" w:cs="Calibri"/>
                <w:color w:val="000000"/>
                <w:kern w:val="0"/>
                <w:lang w:eastAsia="sk-SK"/>
                <w14:ligatures w14:val="none"/>
              </w:rPr>
              <w:t>OSTATNÉ OBNOVITEĽNÉ ZDROJE</w:t>
            </w:r>
          </w:p>
        </w:tc>
      </w:tr>
      <w:tr w:rsidR="00E94290" w:rsidRPr="00207AAB" w14:paraId="557D0BA5" w14:textId="77777777" w:rsidTr="00452021">
        <w:trPr>
          <w:gridAfter w:val="1"/>
          <w:wAfter w:w="2569" w:type="dxa"/>
          <w:trHeight w:val="450"/>
        </w:trPr>
        <w:tc>
          <w:tcPr>
            <w:tcW w:w="97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E335DD" w14:textId="77777777" w:rsidR="00E94290" w:rsidRPr="00207AAB" w:rsidRDefault="00E94290" w:rsidP="00CF636D">
            <w:pPr>
              <w:pStyle w:val="KeinLeerraum"/>
              <w:jc w:val="center"/>
              <w:rPr>
                <w:lang w:eastAsia="sk-SK"/>
              </w:rPr>
            </w:pPr>
            <w:r w:rsidRPr="00207AAB">
              <w:rPr>
                <w:lang w:eastAsia="sk-SK"/>
              </w:rPr>
              <w:t>58,12%</w:t>
            </w:r>
          </w:p>
        </w:tc>
        <w:tc>
          <w:tcPr>
            <w:tcW w:w="7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C964AF5" w14:textId="77777777" w:rsidR="00E94290" w:rsidRPr="00207AAB" w:rsidRDefault="00E94290" w:rsidP="00CF636D">
            <w:pPr>
              <w:pStyle w:val="KeinLeerraum"/>
              <w:jc w:val="center"/>
              <w:rPr>
                <w:lang w:eastAsia="sk-SK"/>
              </w:rPr>
            </w:pPr>
            <w:r w:rsidRPr="00207AAB">
              <w:rPr>
                <w:lang w:eastAsia="sk-SK"/>
              </w:rPr>
              <w:t>25,10%</w:t>
            </w:r>
          </w:p>
        </w:tc>
        <w:tc>
          <w:tcPr>
            <w:tcW w:w="91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CC67385" w14:textId="689C5CAD" w:rsidR="00E94290" w:rsidRPr="00207AAB" w:rsidRDefault="00E94290" w:rsidP="00CF636D">
            <w:pPr>
              <w:pStyle w:val="KeinLeerraum"/>
              <w:jc w:val="center"/>
              <w:rPr>
                <w:lang w:eastAsia="sk-SK"/>
              </w:rPr>
            </w:pPr>
            <w:r w:rsidRPr="00207AAB">
              <w:rPr>
                <w:lang w:eastAsia="sk-SK"/>
              </w:rPr>
              <w:t>4</w:t>
            </w:r>
            <w:r w:rsidR="00686517">
              <w:rPr>
                <w:lang w:eastAsia="sk-SK"/>
              </w:rPr>
              <w:t>,</w:t>
            </w:r>
            <w:r w:rsidRPr="00207AAB">
              <w:rPr>
                <w:lang w:eastAsia="sk-SK"/>
              </w:rPr>
              <w:t>12%</w:t>
            </w:r>
          </w:p>
        </w:tc>
        <w:tc>
          <w:tcPr>
            <w:tcW w:w="68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44A78FB" w14:textId="77777777" w:rsidR="00E94290" w:rsidRPr="00207AAB" w:rsidRDefault="00E94290" w:rsidP="00CF636D">
            <w:pPr>
              <w:pStyle w:val="KeinLeerraum"/>
              <w:jc w:val="center"/>
              <w:rPr>
                <w:lang w:eastAsia="sk-SK"/>
              </w:rPr>
            </w:pPr>
            <w:r w:rsidRPr="00207AAB">
              <w:rPr>
                <w:lang w:eastAsia="sk-SK"/>
              </w:rPr>
              <w:t>2,63%</w:t>
            </w:r>
          </w:p>
        </w:tc>
        <w:tc>
          <w:tcPr>
            <w:tcW w:w="143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0FE97C" w14:textId="77777777" w:rsidR="00E94290" w:rsidRPr="00207AAB" w:rsidRDefault="00E94290" w:rsidP="00CF636D">
            <w:pPr>
              <w:pStyle w:val="KeinLeerraum"/>
              <w:jc w:val="center"/>
              <w:rPr>
                <w:lang w:eastAsia="sk-SK"/>
              </w:rPr>
            </w:pPr>
            <w:r w:rsidRPr="00207AAB">
              <w:rPr>
                <w:lang w:eastAsia="sk-SK"/>
              </w:rPr>
              <w:t>10,03%</w:t>
            </w:r>
          </w:p>
        </w:tc>
      </w:tr>
      <w:tr w:rsidR="00E94290" w:rsidRPr="00207AAB" w14:paraId="02198E7D" w14:textId="77777777" w:rsidTr="00452021">
        <w:trPr>
          <w:trHeight w:val="300"/>
        </w:trPr>
        <w:tc>
          <w:tcPr>
            <w:tcW w:w="971" w:type="dxa"/>
            <w:vMerge/>
            <w:tcBorders>
              <w:top w:val="nil"/>
              <w:left w:val="single" w:sz="8" w:space="0" w:color="000000"/>
              <w:bottom w:val="single" w:sz="8" w:space="0" w:color="000000"/>
              <w:right w:val="single" w:sz="8" w:space="0" w:color="000000"/>
            </w:tcBorders>
            <w:vAlign w:val="center"/>
            <w:hideMark/>
          </w:tcPr>
          <w:p w14:paraId="39348B5D" w14:textId="77777777" w:rsidR="00E94290" w:rsidRPr="00207AAB" w:rsidRDefault="00E94290" w:rsidP="00657557">
            <w:pPr>
              <w:spacing w:after="0" w:line="240" w:lineRule="auto"/>
              <w:rPr>
                <w:rFonts w:ascii="Calibri" w:eastAsia="Times New Roman" w:hAnsi="Calibri" w:cs="Calibri"/>
                <w:color w:val="000000"/>
                <w:kern w:val="0"/>
                <w:lang w:eastAsia="sk-SK"/>
                <w14:ligatures w14:val="none"/>
              </w:rPr>
            </w:pPr>
          </w:p>
        </w:tc>
        <w:tc>
          <w:tcPr>
            <w:tcW w:w="799" w:type="dxa"/>
            <w:vMerge/>
            <w:tcBorders>
              <w:top w:val="nil"/>
              <w:left w:val="single" w:sz="8" w:space="0" w:color="000000"/>
              <w:bottom w:val="single" w:sz="8" w:space="0" w:color="000000"/>
              <w:right w:val="single" w:sz="8" w:space="0" w:color="000000"/>
            </w:tcBorders>
            <w:vAlign w:val="center"/>
            <w:hideMark/>
          </w:tcPr>
          <w:p w14:paraId="2FD34122" w14:textId="77777777" w:rsidR="00E94290" w:rsidRPr="00207AAB" w:rsidRDefault="00E94290" w:rsidP="00657557">
            <w:pPr>
              <w:spacing w:after="0" w:line="240" w:lineRule="auto"/>
              <w:rPr>
                <w:rFonts w:ascii="Calibri" w:eastAsia="Times New Roman" w:hAnsi="Calibri" w:cs="Calibri"/>
                <w:color w:val="000000"/>
                <w:kern w:val="0"/>
                <w:lang w:eastAsia="sk-SK"/>
                <w14:ligatures w14:val="none"/>
              </w:rPr>
            </w:pPr>
          </w:p>
        </w:tc>
        <w:tc>
          <w:tcPr>
            <w:tcW w:w="910" w:type="dxa"/>
            <w:vMerge/>
            <w:tcBorders>
              <w:top w:val="nil"/>
              <w:left w:val="single" w:sz="8" w:space="0" w:color="000000"/>
              <w:bottom w:val="single" w:sz="8" w:space="0" w:color="000000"/>
              <w:right w:val="single" w:sz="8" w:space="0" w:color="000000"/>
            </w:tcBorders>
            <w:vAlign w:val="center"/>
            <w:hideMark/>
          </w:tcPr>
          <w:p w14:paraId="567680BA" w14:textId="77777777" w:rsidR="00E94290" w:rsidRPr="00207AAB" w:rsidRDefault="00E94290" w:rsidP="00657557">
            <w:pPr>
              <w:spacing w:after="0" w:line="240" w:lineRule="auto"/>
              <w:rPr>
                <w:rFonts w:ascii="Calibri" w:eastAsia="Times New Roman" w:hAnsi="Calibri" w:cs="Calibri"/>
                <w:color w:val="000000"/>
                <w:kern w:val="0"/>
                <w:lang w:eastAsia="sk-SK"/>
                <w14:ligatures w14:val="none"/>
              </w:rPr>
            </w:pPr>
          </w:p>
        </w:tc>
        <w:tc>
          <w:tcPr>
            <w:tcW w:w="687" w:type="dxa"/>
            <w:vMerge/>
            <w:tcBorders>
              <w:top w:val="nil"/>
              <w:left w:val="single" w:sz="8" w:space="0" w:color="000000"/>
              <w:bottom w:val="single" w:sz="8" w:space="0" w:color="000000"/>
              <w:right w:val="single" w:sz="8" w:space="0" w:color="000000"/>
            </w:tcBorders>
            <w:vAlign w:val="center"/>
            <w:hideMark/>
          </w:tcPr>
          <w:p w14:paraId="1B35556F" w14:textId="77777777" w:rsidR="00E94290" w:rsidRPr="00207AAB" w:rsidRDefault="00E94290" w:rsidP="00657557">
            <w:pPr>
              <w:spacing w:after="0" w:line="240" w:lineRule="auto"/>
              <w:rPr>
                <w:rFonts w:ascii="Calibri" w:eastAsia="Times New Roman" w:hAnsi="Calibri" w:cs="Calibri"/>
                <w:color w:val="000000"/>
                <w:kern w:val="0"/>
                <w:lang w:eastAsia="sk-SK"/>
                <w14:ligatures w14:val="none"/>
              </w:rPr>
            </w:pPr>
          </w:p>
        </w:tc>
        <w:tc>
          <w:tcPr>
            <w:tcW w:w="1431" w:type="dxa"/>
            <w:vMerge/>
            <w:tcBorders>
              <w:top w:val="nil"/>
              <w:left w:val="single" w:sz="8" w:space="0" w:color="000000"/>
              <w:bottom w:val="single" w:sz="8" w:space="0" w:color="000000"/>
              <w:right w:val="single" w:sz="8" w:space="0" w:color="000000"/>
            </w:tcBorders>
            <w:vAlign w:val="center"/>
            <w:hideMark/>
          </w:tcPr>
          <w:p w14:paraId="681B5272" w14:textId="77777777" w:rsidR="00E94290" w:rsidRPr="00207AAB" w:rsidRDefault="00E94290" w:rsidP="00657557">
            <w:pPr>
              <w:spacing w:after="0" w:line="240" w:lineRule="auto"/>
              <w:rPr>
                <w:rFonts w:ascii="Calibri" w:eastAsia="Times New Roman" w:hAnsi="Calibri" w:cs="Calibri"/>
                <w:color w:val="000000"/>
                <w:kern w:val="0"/>
                <w:lang w:eastAsia="sk-SK"/>
                <w14:ligatures w14:val="none"/>
              </w:rPr>
            </w:pPr>
          </w:p>
        </w:tc>
        <w:tc>
          <w:tcPr>
            <w:tcW w:w="2569" w:type="dxa"/>
            <w:tcBorders>
              <w:top w:val="nil"/>
              <w:left w:val="nil"/>
              <w:bottom w:val="nil"/>
              <w:right w:val="nil"/>
            </w:tcBorders>
            <w:shd w:val="clear" w:color="auto" w:fill="auto"/>
            <w:noWrap/>
            <w:vAlign w:val="bottom"/>
            <w:hideMark/>
          </w:tcPr>
          <w:p w14:paraId="7B36D86C" w14:textId="77777777" w:rsidR="00E94290" w:rsidRPr="00207AAB" w:rsidRDefault="00E94290" w:rsidP="00657557">
            <w:pPr>
              <w:spacing w:after="0" w:line="240" w:lineRule="auto"/>
              <w:jc w:val="right"/>
              <w:rPr>
                <w:rFonts w:ascii="Calibri" w:eastAsia="Times New Roman" w:hAnsi="Calibri" w:cs="Calibri"/>
                <w:color w:val="000000"/>
                <w:kern w:val="0"/>
                <w:lang w:eastAsia="sk-SK"/>
                <w14:ligatures w14:val="none"/>
              </w:rPr>
            </w:pPr>
          </w:p>
        </w:tc>
      </w:tr>
    </w:tbl>
    <w:p w14:paraId="297C1094" w14:textId="77777777" w:rsidR="00E94290" w:rsidRPr="00207AAB" w:rsidRDefault="00E94290" w:rsidP="00E94290"/>
    <w:p w14:paraId="1794B5F8" w14:textId="77777777" w:rsidR="00E94290" w:rsidRPr="00E94290" w:rsidRDefault="00E94290" w:rsidP="00E94290">
      <w:pPr>
        <w:jc w:val="both"/>
        <w:rPr>
          <w:sz w:val="20"/>
          <w:szCs w:val="20"/>
          <w:lang w:val="sk-SK"/>
        </w:rPr>
      </w:pPr>
      <w:r w:rsidRPr="00E94290">
        <w:rPr>
          <w:sz w:val="20"/>
          <w:szCs w:val="20"/>
          <w:lang w:val="sk-SK"/>
        </w:rPr>
        <w:t>Podrobnejší popis a tiež informácie o dopade vyrobenej a dodanej elektriny na životné</w:t>
      </w:r>
      <w:r w:rsidRPr="00E94290">
        <w:rPr>
          <w:sz w:val="20"/>
          <w:szCs w:val="20"/>
          <w:lang w:val="sk-SK"/>
        </w:rPr>
        <w:br/>
        <w:t>prostredie nájdete na webovej stránke stránke OKTE, a.s. (https://okte.sk/sk/zaruky-povodu/statistiky/narodny-energeticky-mix/) kde sa okrem iného uvádzajú aj údaje o škodlivých látkach (CO2 a rádioaktívny odpad), ktoré vznikajú pri výrobe elektriny dodanej dodávateľmi na Slovensku.</w:t>
      </w:r>
    </w:p>
    <w:p w14:paraId="3F15980D" w14:textId="188D56C5" w:rsidR="00E94290" w:rsidRPr="00EE0DA5" w:rsidRDefault="00E94290" w:rsidP="00EE0DA5">
      <w:pPr>
        <w:pStyle w:val="Listenabsatz"/>
        <w:numPr>
          <w:ilvl w:val="0"/>
          <w:numId w:val="3"/>
        </w:numPr>
        <w:rPr>
          <w:b/>
          <w:bCs/>
          <w:lang w:val="en-GB"/>
        </w:rPr>
      </w:pPr>
      <w:proofErr w:type="spellStart"/>
      <w:r w:rsidRPr="00EE0DA5">
        <w:rPr>
          <w:b/>
          <w:bCs/>
          <w:lang w:val="en-GB"/>
        </w:rPr>
        <w:t>Vyhodnoteniam</w:t>
      </w:r>
      <w:proofErr w:type="spellEnd"/>
      <w:r w:rsidRPr="00EE0DA5">
        <w:rPr>
          <w:b/>
          <w:bCs/>
          <w:lang w:val="en-GB"/>
        </w:rPr>
        <w:t xml:space="preserve"> </w:t>
      </w:r>
      <w:proofErr w:type="spellStart"/>
      <w:r w:rsidRPr="00EE0DA5">
        <w:rPr>
          <w:b/>
          <w:bCs/>
          <w:lang w:val="en-GB"/>
        </w:rPr>
        <w:t>štandardov</w:t>
      </w:r>
      <w:proofErr w:type="spellEnd"/>
      <w:r w:rsidRPr="00EE0DA5">
        <w:rPr>
          <w:b/>
          <w:bCs/>
          <w:lang w:val="en-GB"/>
        </w:rPr>
        <w:t xml:space="preserve"> </w:t>
      </w:r>
      <w:proofErr w:type="spellStart"/>
      <w:r w:rsidRPr="00EE0DA5">
        <w:rPr>
          <w:b/>
          <w:bCs/>
          <w:lang w:val="en-GB"/>
        </w:rPr>
        <w:t>kvality</w:t>
      </w:r>
      <w:proofErr w:type="spellEnd"/>
      <w:r w:rsidRPr="00EE0DA5">
        <w:rPr>
          <w:b/>
          <w:bCs/>
          <w:lang w:val="en-GB"/>
        </w:rPr>
        <w:t xml:space="preserve"> za </w:t>
      </w:r>
      <w:proofErr w:type="spellStart"/>
      <w:r w:rsidRPr="00EE0DA5">
        <w:rPr>
          <w:b/>
          <w:bCs/>
          <w:lang w:val="en-GB"/>
        </w:rPr>
        <w:t>predchádzajúci</w:t>
      </w:r>
      <w:proofErr w:type="spellEnd"/>
      <w:r w:rsidRPr="00EE0DA5">
        <w:rPr>
          <w:b/>
          <w:bCs/>
          <w:lang w:val="en-GB"/>
        </w:rPr>
        <w:t xml:space="preserve"> </w:t>
      </w:r>
      <w:proofErr w:type="spellStart"/>
      <w:r w:rsidRPr="00EE0DA5">
        <w:rPr>
          <w:b/>
          <w:bCs/>
          <w:lang w:val="en-GB"/>
        </w:rPr>
        <w:t>rok</w:t>
      </w:r>
      <w:proofErr w:type="spellEnd"/>
    </w:p>
    <w:p w14:paraId="3A7703F7" w14:textId="77777777" w:rsidR="00E94290" w:rsidRPr="00686517" w:rsidRDefault="00E94290" w:rsidP="00E94290">
      <w:pPr>
        <w:jc w:val="both"/>
        <w:rPr>
          <w:lang w:val="sk-SK"/>
        </w:rPr>
      </w:pPr>
      <w:r w:rsidRPr="00E94290">
        <w:rPr>
          <w:sz w:val="20"/>
          <w:szCs w:val="20"/>
          <w:lang w:val="sk-SK"/>
        </w:rPr>
        <w:t>Dodávateľ je v zmysle zákona č. 250/2012 Z .z. o regulácii v sieťových odvetviach v znení neskorších zmien a doplnení povinný dodržiavať štandardy kvality dodávok elektriny. Vyhodnotenie štandardov kvality za predchádzajúci rok dodávateľ zverejňuje na svojom w</w:t>
      </w:r>
      <w:r w:rsidRPr="00C1081B">
        <w:rPr>
          <w:sz w:val="20"/>
          <w:szCs w:val="20"/>
          <w:lang w:val="sk-SK"/>
        </w:rPr>
        <w:t xml:space="preserve">ebovom sídle </w:t>
      </w:r>
      <w:hyperlink r:id="rId7" w:history="1">
        <w:r w:rsidRPr="00686517">
          <w:rPr>
            <w:rStyle w:val="Hyperlink"/>
            <w:sz w:val="20"/>
            <w:szCs w:val="20"/>
            <w:lang w:val="sk-SK"/>
          </w:rPr>
          <w:t>https://galeriakosice.sk/service/elektroenergetika/</w:t>
        </w:r>
      </w:hyperlink>
    </w:p>
    <w:p w14:paraId="02DFDB06" w14:textId="24178F8B" w:rsidR="00E94290" w:rsidRPr="00686517" w:rsidRDefault="00E94290" w:rsidP="00EE0DA5">
      <w:pPr>
        <w:pStyle w:val="Listenabsatz"/>
        <w:numPr>
          <w:ilvl w:val="0"/>
          <w:numId w:val="3"/>
        </w:numPr>
        <w:jc w:val="both"/>
        <w:rPr>
          <w:b/>
          <w:bCs/>
          <w:lang w:val="sk-SK"/>
        </w:rPr>
      </w:pPr>
      <w:r w:rsidRPr="00686517">
        <w:rPr>
          <w:b/>
          <w:bCs/>
          <w:lang w:val="sk-SK"/>
        </w:rPr>
        <w:t>Práva koncového odberateľa týkajúcim sa reklamácie a mimosúdneho riešenia sporov</w:t>
      </w:r>
    </w:p>
    <w:p w14:paraId="60E222CF" w14:textId="77777777" w:rsidR="00E94290" w:rsidRPr="00E94290" w:rsidRDefault="00E94290" w:rsidP="00E94290">
      <w:pPr>
        <w:jc w:val="both"/>
        <w:rPr>
          <w:sz w:val="20"/>
          <w:szCs w:val="20"/>
          <w:lang w:val="sk-SK"/>
        </w:rPr>
      </w:pPr>
      <w:r w:rsidRPr="00E94290">
        <w:rPr>
          <w:sz w:val="20"/>
          <w:szCs w:val="20"/>
          <w:lang w:val="sk-SK"/>
        </w:rPr>
        <w:t>Práva koncového odberateľa elektriny sú obsiahnuté predovšetkým v § 35  zákona č. 251/2012 Z. z. energetike a o zmene a doplnení niektorých zákonov v znení neskorších právnych predpisov (ďalej len „Zákon o energetike“).</w:t>
      </w:r>
    </w:p>
    <w:p w14:paraId="5E5E50CB" w14:textId="77777777" w:rsidR="00E94290" w:rsidRPr="00EE0DA5" w:rsidRDefault="00E94290" w:rsidP="00E94290">
      <w:pPr>
        <w:jc w:val="both"/>
        <w:rPr>
          <w:sz w:val="20"/>
          <w:szCs w:val="20"/>
          <w:lang w:val="sk-SK"/>
        </w:rPr>
      </w:pPr>
      <w:r w:rsidRPr="00E94290">
        <w:rPr>
          <w:sz w:val="20"/>
          <w:szCs w:val="20"/>
          <w:lang w:val="sk-SK"/>
        </w:rPr>
        <w:t xml:space="preserve">Koncový odberateľ elektriny je oprávnený predložiť návrh Úradu pre reguláciu sieťových odvetví na alternatívne riešenie sporu s jeho dodávateľom elektriny, ak sa ohľadom predmetu sporu uskutočnilo reklamačné konanie a tento odberateľ elektriny nesúhlasí s výsledkom </w:t>
      </w:r>
      <w:r w:rsidRPr="00EE0DA5">
        <w:rPr>
          <w:sz w:val="20"/>
          <w:szCs w:val="20"/>
          <w:lang w:val="sk-SK"/>
        </w:rPr>
        <w:t xml:space="preserve">reklamácie alebo so spôsobom jej vybavenia, pričom možnosť obrátiť sa na súd tým nie je dotknutá. Návrh na začatie takéhoto mimosúdneho riešenia sporu sa doručuje na adresu: Úrad pre reguláciu sieťových odvetví, Tomášikova 28C, 821 01 Bratislava 3 alebo elektronicky na adresu </w:t>
      </w:r>
      <w:r w:rsidR="00686517">
        <w:fldChar w:fldCharType="begin"/>
      </w:r>
      <w:r w:rsidR="00686517" w:rsidRPr="00686517">
        <w:rPr>
          <w:lang w:val="sk-SK"/>
        </w:rPr>
        <w:instrText>HYPERLINK "mailto:urso@urso.gov.sk"</w:instrText>
      </w:r>
      <w:r w:rsidR="00686517">
        <w:fldChar w:fldCharType="separate"/>
      </w:r>
      <w:r w:rsidRPr="00EE0DA5">
        <w:rPr>
          <w:sz w:val="20"/>
          <w:szCs w:val="20"/>
          <w:lang w:val="sk-SK"/>
        </w:rPr>
        <w:t>urso@urso.gov.sk</w:t>
      </w:r>
      <w:r w:rsidR="00686517">
        <w:rPr>
          <w:sz w:val="20"/>
          <w:szCs w:val="20"/>
          <w:lang w:val="sk-SK"/>
        </w:rPr>
        <w:fldChar w:fldCharType="end"/>
      </w:r>
      <w:r w:rsidRPr="00EE0DA5">
        <w:rPr>
          <w:sz w:val="20"/>
          <w:szCs w:val="20"/>
          <w:lang w:val="sk-SK"/>
        </w:rPr>
        <w:t>.</w:t>
      </w:r>
    </w:p>
    <w:p w14:paraId="634E544F" w14:textId="77777777" w:rsidR="00E94290" w:rsidRPr="00E94290" w:rsidRDefault="00E94290" w:rsidP="00E94290">
      <w:pPr>
        <w:jc w:val="both"/>
        <w:rPr>
          <w:sz w:val="20"/>
          <w:szCs w:val="20"/>
          <w:lang w:val="sk-SK"/>
        </w:rPr>
      </w:pPr>
      <w:r w:rsidRPr="00EE0DA5">
        <w:rPr>
          <w:sz w:val="20"/>
          <w:szCs w:val="20"/>
          <w:lang w:val="sk-SK"/>
        </w:rPr>
        <w:t xml:space="preserve">Informáciu o správnosti zaradenia odberného miesta odberateľa elektriny do distribučnej tarify a dodávkovej sadzby, do ktorej je odberné miesto zaradené, a o možnosti preradenia odberateľa elektriny do inej vhodnejšej tarify alebo sadzby je možné overiť priamo na stránkach </w:t>
      </w:r>
      <w:hyperlink r:id="rId8" w:history="1">
        <w:r w:rsidRPr="00686517">
          <w:rPr>
            <w:rStyle w:val="Hyperlink"/>
            <w:sz w:val="20"/>
            <w:szCs w:val="20"/>
            <w:lang w:val="sk-SK"/>
          </w:rPr>
          <w:t>https://galeriakosice.sk/service/elektroenergetika/</w:t>
        </w:r>
      </w:hyperlink>
      <w:r w:rsidRPr="00686517">
        <w:rPr>
          <w:sz w:val="20"/>
          <w:szCs w:val="20"/>
          <w:lang w:val="sk-SK"/>
        </w:rPr>
        <w:t xml:space="preserve"> </w:t>
      </w:r>
      <w:r w:rsidRPr="00EE0DA5">
        <w:rPr>
          <w:sz w:val="20"/>
          <w:szCs w:val="20"/>
          <w:lang w:val="sk-SK"/>
        </w:rPr>
        <w:t>priamo</w:t>
      </w:r>
      <w:r w:rsidRPr="00E94290">
        <w:rPr>
          <w:sz w:val="20"/>
          <w:szCs w:val="20"/>
          <w:lang w:val="sk-SK"/>
        </w:rPr>
        <w:t xml:space="preserve"> v aktuálne platnom cenovom rozhodnutí.</w:t>
      </w:r>
    </w:p>
    <w:p w14:paraId="19C27582" w14:textId="3B6589B0" w:rsidR="00E94290" w:rsidRPr="00EE0DA5" w:rsidRDefault="00E94290" w:rsidP="00EE0DA5">
      <w:pPr>
        <w:pStyle w:val="Listenabsatz"/>
        <w:numPr>
          <w:ilvl w:val="0"/>
          <w:numId w:val="3"/>
        </w:numPr>
        <w:rPr>
          <w:b/>
          <w:bCs/>
          <w:lang w:val="en-GB"/>
        </w:rPr>
      </w:pPr>
      <w:proofErr w:type="spellStart"/>
      <w:r w:rsidRPr="00EE0DA5">
        <w:rPr>
          <w:b/>
          <w:bCs/>
          <w:lang w:val="en-GB"/>
        </w:rPr>
        <w:t>Proces</w:t>
      </w:r>
      <w:proofErr w:type="spellEnd"/>
      <w:r w:rsidRPr="00EE0DA5">
        <w:rPr>
          <w:b/>
          <w:bCs/>
          <w:lang w:val="en-GB"/>
        </w:rPr>
        <w:t xml:space="preserve"> </w:t>
      </w:r>
      <w:proofErr w:type="spellStart"/>
      <w:r w:rsidRPr="00EE0DA5">
        <w:rPr>
          <w:b/>
          <w:bCs/>
          <w:lang w:val="en-GB"/>
        </w:rPr>
        <w:t>zmeny</w:t>
      </w:r>
      <w:proofErr w:type="spellEnd"/>
      <w:r w:rsidRPr="00EE0DA5">
        <w:rPr>
          <w:b/>
          <w:bCs/>
          <w:lang w:val="en-GB"/>
        </w:rPr>
        <w:t xml:space="preserve"> </w:t>
      </w:r>
      <w:proofErr w:type="spellStart"/>
      <w:r w:rsidRPr="00EE0DA5">
        <w:rPr>
          <w:b/>
          <w:bCs/>
          <w:lang w:val="en-GB"/>
        </w:rPr>
        <w:t>dodávateľa</w:t>
      </w:r>
      <w:proofErr w:type="spellEnd"/>
    </w:p>
    <w:p w14:paraId="5422C415" w14:textId="77777777" w:rsidR="00E94290" w:rsidRPr="00C1081B" w:rsidRDefault="00E94290" w:rsidP="00E94290">
      <w:pPr>
        <w:rPr>
          <w:sz w:val="20"/>
          <w:szCs w:val="20"/>
          <w:lang w:val="sk-SK"/>
        </w:rPr>
      </w:pPr>
      <w:r w:rsidRPr="00C1081B">
        <w:rPr>
          <w:sz w:val="20"/>
          <w:szCs w:val="20"/>
          <w:lang w:val="sk-SK"/>
        </w:rPr>
        <w:t>Každý odberateľ elektriny má možnosť zmeniť svojho dodávateľa elektriny v súlade so:</w:t>
      </w:r>
    </w:p>
    <w:p w14:paraId="54C93AE3" w14:textId="77777777" w:rsidR="00E94290" w:rsidRPr="00C1081B" w:rsidRDefault="00E94290" w:rsidP="00E94290">
      <w:pPr>
        <w:numPr>
          <w:ilvl w:val="0"/>
          <w:numId w:val="2"/>
        </w:numPr>
        <w:rPr>
          <w:sz w:val="20"/>
          <w:szCs w:val="20"/>
          <w:lang w:val="sk-SK"/>
        </w:rPr>
      </w:pPr>
      <w:r w:rsidRPr="00C1081B">
        <w:rPr>
          <w:sz w:val="20"/>
          <w:szCs w:val="20"/>
          <w:lang w:val="sk-SK"/>
        </w:rPr>
        <w:t>Zákonom o energetike č. 251/2012 Z.z.,</w:t>
      </w:r>
    </w:p>
    <w:p w14:paraId="46E4E776" w14:textId="77777777" w:rsidR="00E94290" w:rsidRPr="00C1081B" w:rsidRDefault="00E94290" w:rsidP="00E94290">
      <w:pPr>
        <w:numPr>
          <w:ilvl w:val="0"/>
          <w:numId w:val="2"/>
        </w:numPr>
        <w:rPr>
          <w:sz w:val="20"/>
          <w:szCs w:val="20"/>
          <w:lang w:val="sk-SK"/>
        </w:rPr>
      </w:pPr>
      <w:r w:rsidRPr="00C1081B">
        <w:rPr>
          <w:sz w:val="20"/>
          <w:szCs w:val="20"/>
          <w:lang w:val="sk-SK"/>
        </w:rPr>
        <w:t>Vyhláškou 207/2023 Z.z. ÚRSO, ktorou sa ustanovujú pravidlá pre fungovanie vnútorného trhu,</w:t>
      </w:r>
    </w:p>
    <w:p w14:paraId="56908144" w14:textId="77777777" w:rsidR="00E94290" w:rsidRPr="00C1081B" w:rsidRDefault="00CF636D" w:rsidP="00E94290">
      <w:pPr>
        <w:numPr>
          <w:ilvl w:val="0"/>
          <w:numId w:val="2"/>
        </w:numPr>
        <w:rPr>
          <w:sz w:val="20"/>
          <w:szCs w:val="20"/>
          <w:lang w:val="sk-SK"/>
        </w:rPr>
      </w:pPr>
      <w:hyperlink r:id="rId9" w:history="1">
        <w:r w:rsidR="00E94290" w:rsidRPr="00686517">
          <w:rPr>
            <w:rStyle w:val="Hyperlink"/>
            <w:sz w:val="20"/>
            <w:szCs w:val="20"/>
            <w:lang w:val="sk-SK"/>
          </w:rPr>
          <w:t>Prevádzkovým poriadkom</w:t>
        </w:r>
      </w:hyperlink>
      <w:r w:rsidR="00E94290" w:rsidRPr="00C1081B">
        <w:rPr>
          <w:sz w:val="20"/>
          <w:szCs w:val="20"/>
          <w:lang w:val="sk-SK"/>
        </w:rPr>
        <w:t xml:space="preserve"> našej spoločnosti ako prevádzkovateľa distribučnej sústavy </w:t>
      </w:r>
    </w:p>
    <w:p w14:paraId="00BC0106" w14:textId="77777777" w:rsidR="00E94290" w:rsidRPr="00C1081B" w:rsidRDefault="00E94290" w:rsidP="00E94290">
      <w:pPr>
        <w:rPr>
          <w:sz w:val="20"/>
          <w:szCs w:val="20"/>
          <w:lang w:val="sk-SK"/>
        </w:rPr>
      </w:pPr>
      <w:r w:rsidRPr="00C1081B">
        <w:rPr>
          <w:sz w:val="20"/>
          <w:szCs w:val="20"/>
          <w:lang w:val="sk-SK"/>
        </w:rPr>
        <w:t>Zmenu dodávateľa zrealizujeme do troch týždňov podľa doručenej požiadavky na zmenu dodávateľa.</w:t>
      </w:r>
    </w:p>
    <w:p w14:paraId="477FE532" w14:textId="77777777" w:rsidR="00E94290" w:rsidRPr="00C1081B" w:rsidRDefault="00E94290" w:rsidP="00E94290">
      <w:pPr>
        <w:rPr>
          <w:sz w:val="20"/>
          <w:szCs w:val="20"/>
          <w:lang w:val="sk-SK"/>
        </w:rPr>
      </w:pPr>
      <w:r w:rsidRPr="00C1081B">
        <w:rPr>
          <w:sz w:val="20"/>
          <w:szCs w:val="20"/>
          <w:lang w:val="sk-SK"/>
        </w:rPr>
        <w:t>Dokončeniu procesov predchádzajúcich technickej zmene dodávateľa elektriny predchádza:</w:t>
      </w:r>
    </w:p>
    <w:p w14:paraId="10889AD7" w14:textId="77777777" w:rsidR="00E94290" w:rsidRPr="00C1081B" w:rsidRDefault="00E94290" w:rsidP="00E94290">
      <w:pPr>
        <w:ind w:firstLine="708"/>
        <w:rPr>
          <w:sz w:val="20"/>
          <w:szCs w:val="20"/>
          <w:lang w:val="sk-SK"/>
        </w:rPr>
      </w:pPr>
      <w:r w:rsidRPr="00C1081B">
        <w:rPr>
          <w:sz w:val="20"/>
          <w:szCs w:val="20"/>
          <w:lang w:val="sk-SK"/>
        </w:rPr>
        <w:t>(i) ukončenie zmluvy podľa § 23 ods. 1 písm. c) Pravidiel trhu uzatvorenej s pôvodným dodávateľom elektriny najneskôr ku dňu vykonania zmeny dodávateľa a</w:t>
      </w:r>
    </w:p>
    <w:p w14:paraId="63A8E9B8" w14:textId="77777777" w:rsidR="00E94290" w:rsidRPr="00C1081B" w:rsidRDefault="00E94290" w:rsidP="00E94290">
      <w:pPr>
        <w:ind w:firstLine="708"/>
        <w:rPr>
          <w:sz w:val="20"/>
          <w:szCs w:val="20"/>
          <w:lang w:val="sk-SK"/>
        </w:rPr>
      </w:pPr>
      <w:r w:rsidRPr="00C1081B">
        <w:rPr>
          <w:sz w:val="20"/>
          <w:szCs w:val="20"/>
          <w:lang w:val="sk-SK"/>
        </w:rPr>
        <w:t>(ii) neexistencia pohľadávok pôvodného dodávateľa elektriny voči odberateľovi elektriny po lehote splatnosti viac ako päť pracovných dní a súčasne v sume presahujúcej 100 eur.</w:t>
      </w:r>
    </w:p>
    <w:p w14:paraId="621B19D9" w14:textId="529152F4" w:rsidR="00E94290" w:rsidRPr="00C1081B" w:rsidRDefault="00025432" w:rsidP="00E94290">
      <w:pPr>
        <w:rPr>
          <w:sz w:val="20"/>
          <w:szCs w:val="20"/>
          <w:lang w:val="sk-SK"/>
        </w:rPr>
      </w:pPr>
      <w:r>
        <w:rPr>
          <w:sz w:val="20"/>
          <w:szCs w:val="20"/>
          <w:lang w:val="sk-SK"/>
        </w:rPr>
        <w:t xml:space="preserve">     </w:t>
      </w:r>
      <w:r w:rsidR="00E94290" w:rsidRPr="00C1081B">
        <w:rPr>
          <w:sz w:val="20"/>
          <w:szCs w:val="20"/>
          <w:lang w:val="sk-SK"/>
        </w:rPr>
        <w:t xml:space="preserve">Nový dodávateľ nám ako prevádzkovateľovi distribučnej sústavy predloží na základe splnomocnenia požiadavku na zmenu dodávateľa najneskôr 21 kalendárnych dní pred požadovaným dňom zmeny e-mailom. </w:t>
      </w:r>
    </w:p>
    <w:p w14:paraId="44BB8A26" w14:textId="59C4F499" w:rsidR="00E94290" w:rsidRPr="00C1081B" w:rsidRDefault="00025432" w:rsidP="00E94290">
      <w:pPr>
        <w:jc w:val="both"/>
        <w:rPr>
          <w:sz w:val="20"/>
          <w:szCs w:val="20"/>
          <w:lang w:val="sk-SK"/>
        </w:rPr>
      </w:pPr>
      <w:r>
        <w:rPr>
          <w:sz w:val="20"/>
          <w:szCs w:val="20"/>
          <w:lang w:val="sk-SK"/>
        </w:rPr>
        <w:t xml:space="preserve">     </w:t>
      </w:r>
      <w:r w:rsidR="00E94290" w:rsidRPr="00C1081B">
        <w:rPr>
          <w:sz w:val="20"/>
          <w:szCs w:val="20"/>
          <w:lang w:val="sk-SK"/>
        </w:rPr>
        <w:t>Po uzatvorení zmluvy o dodávke elektriny s novým dodávateľom elektriny je odberateľ elektriny oprávnený požiadať príslušného prevádzkovateľa sústavy o zmenu dodávateľa elektriny sám alebo prostredníctvom svojho nového dodávateľa elektriny najneskôr 21 dní pred požadovaným termínom vykonania technickej zmeny dodávateľa. Na základe podanej žiadosti príslušný prevádzkovateľ vykoná požadovanú zmenu, a to bezodplatne. V súlade s § 27 Pravidiel trhu sa proces zmeny dodávateľa dokončuje technickou zmenou. Technická zmena dodávateľa elektriny sa vykoná v lehote 24 hodín od splnenia podmienok pre dokončenie procesov predchádzajúcich technickej zmene dodávateľa. Právo na výber alebo zmenu dodávateľa elektriny sa potom vykoná registráciou odberného miesta koncového odberateľa elektriny na dodávateľa elektriny.</w:t>
      </w:r>
    </w:p>
    <w:p w14:paraId="69AFB85B" w14:textId="53E15171" w:rsidR="00E94290" w:rsidRPr="00EE0DA5" w:rsidRDefault="00E94290" w:rsidP="00EE0DA5">
      <w:pPr>
        <w:pStyle w:val="Listenabsatz"/>
        <w:numPr>
          <w:ilvl w:val="0"/>
          <w:numId w:val="3"/>
        </w:numPr>
        <w:jc w:val="both"/>
        <w:rPr>
          <w:b/>
          <w:bCs/>
          <w:lang w:val="sk-SK"/>
        </w:rPr>
      </w:pPr>
      <w:r w:rsidRPr="00EE0DA5">
        <w:rPr>
          <w:b/>
          <w:bCs/>
          <w:lang w:val="sk-SK"/>
        </w:rPr>
        <w:t>Informácie o dostupných opatreniach na zvýšenie energetickej účinnosti</w:t>
      </w:r>
    </w:p>
    <w:p w14:paraId="1540721F" w14:textId="77777777" w:rsidR="00E94290" w:rsidRPr="00C1081B" w:rsidRDefault="00E94290" w:rsidP="00E94290">
      <w:pPr>
        <w:rPr>
          <w:sz w:val="20"/>
          <w:szCs w:val="20"/>
          <w:lang w:val="sk-SK"/>
        </w:rPr>
      </w:pPr>
      <w:r w:rsidRPr="00C1081B">
        <w:rPr>
          <w:sz w:val="20"/>
          <w:szCs w:val="20"/>
          <w:lang w:val="sk-SK"/>
        </w:rPr>
        <w:t xml:space="preserve">V zmysle platných právnych predpisov je dodávateľ povinný informovať koncového odberateľa ohľadom kontaktných údajoch a o webovom sídle spotrebiteľských organizácií a energetických agentúr, kde je možnosť získať informácie o dostupných opatreniach na zvýšenie energetickej účinnosti. </w:t>
      </w:r>
    </w:p>
    <w:p w14:paraId="6466DACA" w14:textId="77777777" w:rsidR="00E94290" w:rsidRPr="00686517" w:rsidRDefault="00E94290" w:rsidP="00E94290">
      <w:pPr>
        <w:rPr>
          <w:lang w:val="sk-SK"/>
        </w:rPr>
      </w:pPr>
      <w:r w:rsidRPr="00C1081B">
        <w:rPr>
          <w:sz w:val="20"/>
          <w:szCs w:val="20"/>
          <w:lang w:val="sk-SK"/>
        </w:rPr>
        <w:sym w:font="Wingdings" w:char="F0A7"/>
      </w:r>
      <w:r w:rsidRPr="00C1081B">
        <w:rPr>
          <w:sz w:val="20"/>
          <w:szCs w:val="20"/>
          <w:lang w:val="sk-SK"/>
        </w:rPr>
        <w:t xml:space="preserve"> Slovenskú inovačnú a energetickú agentúru so sídlom Bajkalská 27, </w:t>
      </w:r>
      <w:r w:rsidRPr="00025432">
        <w:rPr>
          <w:sz w:val="20"/>
          <w:szCs w:val="20"/>
          <w:lang w:val="sk-SK"/>
        </w:rPr>
        <w:t xml:space="preserve">827 99 Bratislava, e-mailová adresa </w:t>
      </w:r>
      <w:hyperlink r:id="rId10" w:history="1">
        <w:r w:rsidRPr="00686517">
          <w:rPr>
            <w:rStyle w:val="Hyperlink"/>
            <w:sz w:val="20"/>
            <w:szCs w:val="20"/>
            <w:lang w:val="sk-SK"/>
          </w:rPr>
          <w:t>office@siea.gov.sk</w:t>
        </w:r>
      </w:hyperlink>
      <w:r w:rsidRPr="00686517">
        <w:rPr>
          <w:sz w:val="20"/>
          <w:szCs w:val="20"/>
          <w:lang w:val="sk-SK"/>
        </w:rPr>
        <w:t xml:space="preserve"> </w:t>
      </w:r>
      <w:r w:rsidRPr="00025432">
        <w:rPr>
          <w:sz w:val="20"/>
          <w:szCs w:val="20"/>
          <w:lang w:val="sk-SK"/>
        </w:rPr>
        <w:t xml:space="preserve">(informácie o dostupných opatreniach na zvýšenie energetickej účinnosti nájdete aj na </w:t>
      </w:r>
      <w:hyperlink r:id="rId11" w:history="1">
        <w:r w:rsidRPr="00686517">
          <w:rPr>
            <w:rStyle w:val="Hyperlink"/>
            <w:sz w:val="20"/>
            <w:szCs w:val="20"/>
            <w:lang w:val="sk-SK"/>
          </w:rPr>
          <w:t>www.siea.sk</w:t>
        </w:r>
      </w:hyperlink>
      <w:r w:rsidRPr="00686517">
        <w:rPr>
          <w:sz w:val="20"/>
          <w:szCs w:val="20"/>
          <w:lang w:val="sk-SK"/>
        </w:rPr>
        <w:t>.</w:t>
      </w:r>
      <w:r w:rsidRPr="00686517">
        <w:rPr>
          <w:lang w:val="sk-SK"/>
        </w:rPr>
        <w:t xml:space="preserve"> </w:t>
      </w:r>
    </w:p>
    <w:p w14:paraId="58E454D1" w14:textId="1DA1D956" w:rsidR="00E94290" w:rsidRPr="00686517" w:rsidRDefault="00E94290" w:rsidP="00EE0DA5">
      <w:pPr>
        <w:pStyle w:val="Listenabsatz"/>
        <w:numPr>
          <w:ilvl w:val="0"/>
          <w:numId w:val="3"/>
        </w:numPr>
        <w:rPr>
          <w:b/>
          <w:bCs/>
          <w:lang w:val="sk-SK"/>
        </w:rPr>
      </w:pPr>
      <w:r w:rsidRPr="00686517">
        <w:rPr>
          <w:b/>
          <w:bCs/>
          <w:lang w:val="sk-SK"/>
        </w:rPr>
        <w:t>Portál na porovnávanie ponúk dodávateľov elektriny</w:t>
      </w:r>
    </w:p>
    <w:p w14:paraId="4A96C32C" w14:textId="77777777" w:rsidR="00E94290" w:rsidRPr="00686517" w:rsidRDefault="00E94290" w:rsidP="00E94290">
      <w:pPr>
        <w:rPr>
          <w:sz w:val="20"/>
          <w:szCs w:val="20"/>
          <w:lang w:val="sk-SK"/>
        </w:rPr>
      </w:pPr>
      <w:r w:rsidRPr="00025432">
        <w:rPr>
          <w:sz w:val="20"/>
          <w:szCs w:val="20"/>
          <w:lang w:val="sk-SK"/>
        </w:rPr>
        <w:t xml:space="preserve">Každý koncový odberateľ má možnosť porovnať si ponuky dodávateľov na webovom portály ÚRSO </w:t>
      </w:r>
      <w:r w:rsidRPr="00686517">
        <w:rPr>
          <w:sz w:val="20"/>
          <w:szCs w:val="20"/>
          <w:lang w:val="sk-SK"/>
        </w:rPr>
        <w:t>(</w:t>
      </w:r>
      <w:hyperlink r:id="rId12" w:history="1">
        <w:r w:rsidRPr="00686517">
          <w:rPr>
            <w:rStyle w:val="Hyperlink"/>
            <w:sz w:val="20"/>
            <w:szCs w:val="20"/>
            <w:lang w:val="sk-SK"/>
          </w:rPr>
          <w:t>https://data.urso.gov.sk/CISRES/Agenda.nsf/KalkulackaElektrinaNewWeb2023</w:t>
        </w:r>
      </w:hyperlink>
      <w:r w:rsidRPr="00686517">
        <w:rPr>
          <w:sz w:val="20"/>
          <w:szCs w:val="20"/>
          <w:lang w:val="sk-SK"/>
        </w:rPr>
        <w:t>).</w:t>
      </w:r>
    </w:p>
    <w:p w14:paraId="2E87F2F6" w14:textId="7B1CC597" w:rsidR="00C237B2" w:rsidRPr="0093367A" w:rsidRDefault="00C237B2" w:rsidP="00211FB0">
      <w:pPr>
        <w:jc w:val="both"/>
        <w:rPr>
          <w:sz w:val="20"/>
          <w:szCs w:val="20"/>
          <w:lang w:val="sk-SK"/>
        </w:rPr>
      </w:pPr>
      <w:r w:rsidRPr="0093367A">
        <w:rPr>
          <w:sz w:val="20"/>
          <w:szCs w:val="20"/>
          <w:lang w:val="sk-SK"/>
        </w:rPr>
        <w:t>Poruchová linka:</w:t>
      </w:r>
      <w:r w:rsidR="0093367A" w:rsidRPr="0093367A">
        <w:rPr>
          <w:sz w:val="20"/>
          <w:szCs w:val="20"/>
          <w:lang w:val="sk-SK"/>
        </w:rPr>
        <w:t xml:space="preserve"> </w:t>
      </w:r>
      <w:r w:rsidRPr="0093367A">
        <w:rPr>
          <w:sz w:val="20"/>
          <w:szCs w:val="20"/>
          <w:lang w:val="sk-SK"/>
        </w:rPr>
        <w:t>Číslo poruchovej linky pre vaše odberné miesto: +421 55 789 51 53</w:t>
      </w:r>
    </w:p>
    <w:sectPr w:rsidR="00C237B2" w:rsidRPr="0093367A" w:rsidSect="00C237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429CB"/>
    <w:multiLevelType w:val="hybridMultilevel"/>
    <w:tmpl w:val="4BB8510E"/>
    <w:lvl w:ilvl="0" w:tplc="2E42E58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5641EA5"/>
    <w:multiLevelType w:val="hybridMultilevel"/>
    <w:tmpl w:val="3F307EBC"/>
    <w:lvl w:ilvl="0" w:tplc="041B000F">
      <w:start w:val="1"/>
      <w:numFmt w:val="decimal"/>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B7D2634"/>
    <w:multiLevelType w:val="multilevel"/>
    <w:tmpl w:val="94DE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0194852">
    <w:abstractNumId w:val="1"/>
  </w:num>
  <w:num w:numId="2" w16cid:durableId="1464343280">
    <w:abstractNumId w:val="2"/>
  </w:num>
  <w:num w:numId="3" w16cid:durableId="600795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B2"/>
    <w:rsid w:val="00025432"/>
    <w:rsid w:val="000F0E28"/>
    <w:rsid w:val="00180BBD"/>
    <w:rsid w:val="00211FB0"/>
    <w:rsid w:val="00257E27"/>
    <w:rsid w:val="002D76EB"/>
    <w:rsid w:val="003E5058"/>
    <w:rsid w:val="00452021"/>
    <w:rsid w:val="00466577"/>
    <w:rsid w:val="004B0C68"/>
    <w:rsid w:val="004C0809"/>
    <w:rsid w:val="005B7FD3"/>
    <w:rsid w:val="006361D0"/>
    <w:rsid w:val="00647823"/>
    <w:rsid w:val="00686517"/>
    <w:rsid w:val="008B6A1C"/>
    <w:rsid w:val="0093367A"/>
    <w:rsid w:val="00BB45CD"/>
    <w:rsid w:val="00C1081B"/>
    <w:rsid w:val="00C237B2"/>
    <w:rsid w:val="00CF636D"/>
    <w:rsid w:val="00D86F27"/>
    <w:rsid w:val="00DB193B"/>
    <w:rsid w:val="00DF73B3"/>
    <w:rsid w:val="00E61E92"/>
    <w:rsid w:val="00E94290"/>
    <w:rsid w:val="00EE0DA5"/>
    <w:rsid w:val="00FC76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01BA2"/>
  <w15:chartTrackingRefBased/>
  <w15:docId w15:val="{9B001183-B9C3-4F66-A305-314CD5DA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237B2"/>
    <w:rPr>
      <w:color w:val="0563C1" w:themeColor="hyperlink"/>
      <w:u w:val="single"/>
    </w:rPr>
  </w:style>
  <w:style w:type="paragraph" w:styleId="Listenabsatz">
    <w:name w:val="List Paragraph"/>
    <w:basedOn w:val="Standard"/>
    <w:uiPriority w:val="34"/>
    <w:qFormat/>
    <w:rsid w:val="00C237B2"/>
    <w:pPr>
      <w:ind w:left="720"/>
      <w:contextualSpacing/>
    </w:pPr>
  </w:style>
  <w:style w:type="paragraph" w:styleId="StandardWeb">
    <w:name w:val="Normal (Web)"/>
    <w:basedOn w:val="Standard"/>
    <w:uiPriority w:val="99"/>
    <w:unhideWhenUsed/>
    <w:rsid w:val="006361D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KeinLeerraum">
    <w:name w:val="No Spacing"/>
    <w:uiPriority w:val="1"/>
    <w:qFormat/>
    <w:rsid w:val="00CF63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23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leriakosice.sk/service/elektroenergetik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aleriakosice.sk/service/elektroenergetika/" TargetMode="External"/><Relationship Id="rId12" Type="http://schemas.openxmlformats.org/officeDocument/2006/relationships/hyperlink" Target="https://data.urso.gov.sk/CISRES/Agenda.nsf/KalkulackaElektrinaNewWeb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siea.sk" TargetMode="External"/><Relationship Id="rId5" Type="http://schemas.openxmlformats.org/officeDocument/2006/relationships/webSettings" Target="webSettings.xml"/><Relationship Id="rId10" Type="http://schemas.openxmlformats.org/officeDocument/2006/relationships/hyperlink" Target="mailto:office@siea.gov.sk" TargetMode="External"/><Relationship Id="rId4" Type="http://schemas.openxmlformats.org/officeDocument/2006/relationships/settings" Target="settings.xml"/><Relationship Id="rId9" Type="http://schemas.openxmlformats.org/officeDocument/2006/relationships/hyperlink" Target="https://www.zsdis.sk/Uvod/Spolocnost/Dokumenty/Prevadzkovy-poriadok"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BCDE5-1F46-43DC-8393-AA3D5423A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Cutora, Stefan</dc:creator>
  <cp:keywords/>
  <dc:description/>
  <cp:lastModifiedBy>Cutora, Stefan</cp:lastModifiedBy>
  <cp:revision>4</cp:revision>
  <dcterms:created xsi:type="dcterms:W3CDTF">2024-08-26T09:15:00Z</dcterms:created>
  <dcterms:modified xsi:type="dcterms:W3CDTF">2024-08-26T09:38:00Z</dcterms:modified>
</cp:coreProperties>
</file>